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Trademarks</w:t>
      </w:r>
    </w:p>
    <w:p>
      <w:pPr>
        <w:jc w:val="both"/>
        <w:spacing w:before="100" w:after="100"/>
        <w:ind w:start="360"/>
        <w:ind w:firstLine="360"/>
      </w:pPr>
      <w:r>
        <w:rPr/>
      </w:r>
      <w:r>
        <w:rPr/>
      </w:r>
      <w:r>
        <w:t xml:space="preserve">In order to better carry out the objectives of the Potato Tax Law, the Maine Potato Commission may develop and register trademarks. The Commissioner of Agriculture, Conservation and Forestry may delegate to the Maine Potato Commission the authority to regulate the use of the State of Maine trademark when used in packaging potatoes, both fresh and processed.</w:t>
      </w:r>
      <w:r>
        <w:t xml:space="preserve">  </w:t>
      </w:r>
      <w:r xmlns:wp="http://schemas.openxmlformats.org/drawingml/2010/wordprocessingDrawing" xmlns:w15="http://schemas.microsoft.com/office/word/2012/wordml">
        <w:rPr>
          <w:rFonts w:ascii="Arial" w:hAnsi="Arial" w:cs="Arial"/>
          <w:sz w:val="22"/>
          <w:szCs w:val="22"/>
        </w:rPr>
        <w:t xml:space="preserve">[RR 2009, c. 2, §19 (COR);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§19 (COR).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§1601. Trademarks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Trademarks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§1601. TRADEMARKS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