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1490</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prima facie evidence of a violation of the Unfair Trade Practices Act,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for which a forfeiture of not less than $100 nor more than $1,000 may be adjudged.  No action may be brought for a civil violation under this subsection more than 2 years after the date of the occurrence of the violation.  No home construction contractor may be held liable for a civil violation under this subsection if the contractor shows by a preponderance of the evidence that the violation was unintentional and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