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1310-F</w:t>
        <w:t xml:space="preserve">.  </w:t>
      </w:r>
      <w:r>
        <w:rPr>
          <w:b/>
        </w:rPr>
        <w:t xml:space="preserve">Relation to other laws and the powers of the Superintendent of Financial Institutions</w:t>
      </w:r>
    </w:p>
    <w:p>
      <w:pPr>
        <w:jc w:val="both"/>
        <w:spacing w:before="100" w:after="100"/>
        <w:ind w:start="360"/>
        <w:ind w:firstLine="360"/>
      </w:pPr>
      <w:r>
        <w:rPr/>
      </w:r>
      <w:r>
        <w:rPr/>
      </w:r>
      <w:r>
        <w:t xml:space="preserve">This chapter does not limit the obligations of a supervised financial organization to comply with other state and federal laws to which the supervised financial organization is subject, or the authority of the Superintendent of Financial Institutions conferred by </w:t>
      </w:r>
      <w:r>
        <w:t>Title 9‑B</w:t>
      </w:r>
      <w:r>
        <w:t xml:space="preserve">, including the authority to examine and supervise a supervised financial organization to ensure compliance with state and federal laws and regulations as set forth in </w:t>
      </w:r>
      <w:r>
        <w:t>Title 9‑B, section 211,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§1310-F. Relation to other laws and the powers of the Superintendent of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§1310-F. Relation to other laws and the powers of the Superintendent of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§1310-F. RELATION TO OTHER LAWS AND THE POWERS OF THE SUPERINTENDENT OF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