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Summons</w:t>
      </w:r>
    </w:p>
    <w:p>
      <w:pPr>
        <w:jc w:val="both"/>
        <w:spacing w:before="100" w:after="0"/>
        <w:ind w:start="360"/>
        <w:ind w:firstLine="360"/>
      </w:pPr>
      <w:r>
        <w:rPr>
          <w:b/>
        </w:rPr>
        <w:t>1</w:t>
        <w:t xml:space="preserve">.  </w:t>
      </w:r>
      <w:r>
        <w:rPr>
          <w:b/>
        </w:rPr>
        <w:t xml:space="preserve">Authority.</w:t>
        <w:t xml:space="preserve"> </w:t>
      </w:r>
      <w:r>
        <w:t xml:space="preserve"> </w:t>
      </w:r>
      <w:r>
        <w:t xml:space="preserve">Whenever the Attorney General reasonably believes that a violation of </w:t>
      </w:r>
      <w:r>
        <w:t>section 1204‑A</w:t>
      </w:r>
      <w:r>
        <w:t xml:space="preserve"> may be occurring in the sale of motor fuel, he may require by summons the attendance and testimony of witnesses and the production of books and papers before him relating to any and all costs of operation of any motor fuel retailer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§1 (NEW).]</w:t>
      </w:r>
    </w:p>
    <w:p>
      <w:pPr>
        <w:jc w:val="both"/>
        <w:spacing w:before="100" w:after="0"/>
        <w:ind w:start="360"/>
        <w:ind w:firstLine="360"/>
      </w:pPr>
      <w:r>
        <w:rPr>
          <w:b/>
        </w:rPr>
        <w:t>2</w:t>
        <w:t xml:space="preserve">.  </w:t>
      </w:r>
      <w:r>
        <w:rPr>
          <w:b/>
        </w:rPr>
        <w:t xml:space="preserve">Penalty.</w:t>
        <w:t xml:space="preserve"> </w:t>
      </w:r>
      <w:r>
        <w:t xml:space="preserve"> </w:t>
      </w:r>
      <w:r>
        <w:t xml:space="preserve">Any person who fails to comply with a summons issued under this section is subject to a civil penalty of not more than $5,000, payable to the State to be recovered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§1208. Summons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Summons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§1208. SUMMONS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