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that have caused the State or portions of the State to be declared disaster areas by the President of the United States or the President's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 (COR).]</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RR 2023, c. 2, Pt. C,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 Maine Natural Disaster Business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Maine Natural Disaster Business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§1012. MAINE NATURAL DISASTER BUSINESS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