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SYPHONS, BOTTLES AND CANS</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Protection of marks on containers for soda water and similar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1802</w:t>
        <w:t xml:space="preserve">.  </w:t>
      </w:r>
      <w:r>
        <w:rPr>
          <w:b/>
        </w:rPr>
        <w:t xml:space="preserve">Unlawful use or defacing of containers marked as provided in §§ 190 and 229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§6 (RP). </w:t>
      </w:r>
    </w:p>
    <w:p>
      <w:pPr>
        <w:jc w:val="both"/>
        <w:spacing w:before="100" w:after="100"/>
        <w:ind w:start="1080" w:hanging="720"/>
      </w:pPr>
      <w:r>
        <w:rPr>
          <w:b/>
        </w:rPr>
        <w:t>§</w:t>
        <w:t>1803</w:t>
        <w:t xml:space="preserve">.  </w:t>
      </w:r>
      <w:r>
        <w:rPr>
          <w:b/>
        </w:rPr>
        <w:t xml:space="preserve">Search warrant to search for such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313. SYPHONS, BOTTLES AND CANS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SYPHONS, BOTTLES AND CANS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313. SYPHONS, BOTTLES AND CANS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