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Administrative changes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§93. ADMINISTRATIVE CHANGES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