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Limitations</w:t>
      </w:r>
    </w:p>
    <w:p>
      <w:pPr>
        <w:jc w:val="both"/>
        <w:spacing w:before="100" w:after="100"/>
        <w:ind w:start="360"/>
        <w:ind w:firstLine="360"/>
      </w:pPr>
      <w:r>
        <w:rPr/>
      </w:r>
      <w:r>
        <w:rPr/>
      </w:r>
      <w:r>
        <w:t xml:space="preserve">Nothing in this chapter may be construed as creating in any condemnation proceeding brought under the power of eminent domain any element of value or of damage not in existence immediately prior to April 2, 1989.</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The requirement by the State to be guided, to the greatest extent practicable, by the policies set forth in the Federal Uniform Relocation Act shall create no rights or liabilities and shall not affect the validity of any property acquisitions by purchase or condemnation.</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Nothing in this chapter may be construed to require the State to provide services, payments or benefits which exceed in quantity or quality those which are necessary or proper for the State to provide in order for the State to receive federal financial assistance by complying with the obligations imposed or incumbent upon states under the Federal Uniform Relocation Act.</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Nothing in this chapter may be construed to limit the authority or eligibility of the State to receive federal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597 (NEW). PL 1973, c. 625, §6 (AMD). PL 1989, c. 40,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§904.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