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 Revision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Revision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§74. REVISION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