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State agency defined</w:t>
      </w:r>
    </w:p>
    <w:p>
      <w:pPr>
        <w:jc w:val="both"/>
        <w:spacing w:before="100" w:after="100"/>
        <w:ind w:start="360"/>
        <w:ind w:firstLine="360"/>
      </w:pPr>
      <w:r>
        <w:rPr/>
      </w:r>
      <w:r>
        <w:rPr/>
      </w:r>
      <w:r>
        <w:t xml:space="preserve">As used in this subchapter, the word "agency" shall mean a state department, agency, office, board, commission; or quasi-independent agency, board, commission, authority or institution.</w:t>
      </w:r>
      <w:r>
        <w:t xml:space="preserve">  </w:t>
      </w:r>
      <w:r xmlns:wp="http://schemas.openxmlformats.org/drawingml/2010/wordprocessingDrawing" xmlns:w15="http://schemas.microsoft.com/office/word/2012/wordml">
        <w:rPr>
          <w:rFonts w:ascii="Arial" w:hAnsi="Arial" w:cs="Arial"/>
          <w:sz w:val="22"/>
          <w:szCs w:val="22"/>
        </w:rPr>
        <w:t xml:space="preserve">[PL 1975, c. 436,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 State agency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State agency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§501. STATE AGENCY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