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§2703. Committee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Committee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§2703. COMMITTEE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