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State berry</w:t>
      </w:r>
    </w:p>
    <w:p>
      <w:pPr>
        <w:jc w:val="both"/>
        <w:spacing w:before="100" w:after="100"/>
        <w:ind w:start="360"/>
        <w:ind w:firstLine="360"/>
      </w:pPr>
      <w:r>
        <w:rPr/>
      </w:r>
      <w:r>
        <w:rPr/>
      </w:r>
      <w:r>
        <w:t xml:space="preserve">The wild blueberry (vaccinium angustifolium, aiton) is the official state berry.</w:t>
      </w:r>
      <w:r>
        <w:t xml:space="preserve">  </w:t>
      </w:r>
      <w:r xmlns:wp="http://schemas.openxmlformats.org/drawingml/2010/wordprocessingDrawing" xmlns:w15="http://schemas.microsoft.com/office/word/2012/wordml">
        <w:rPr>
          <w:rFonts w:ascii="Arial" w:hAnsi="Arial" w:cs="Arial"/>
          <w:sz w:val="22"/>
          <w:szCs w:val="22"/>
        </w:rPr>
        <w:t xml:space="preserve">[PL 1991, c. 218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(COR). PL 1991, c. 218 (NEW). PL 1991,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§219. State berry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State berry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§219. STATE BERRY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