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212</w:t>
        <w:t xml:space="preserve">.  </w:t>
      </w:r>
      <w:r>
        <w:rPr>
          <w:b/>
        </w:rPr>
        <w:t xml:space="preserve">State fish</w:t>
      </w:r>
    </w:p>
    <w:p>
      <w:pPr>
        <w:jc w:val="both"/>
        <w:spacing w:before="100" w:after="100"/>
        <w:ind w:start="360"/>
        <w:ind w:firstLine="360"/>
      </w:pPr>
      <w:r>
        <w:rPr/>
      </w:r>
      <w:r>
        <w:rPr/>
      </w:r>
      <w:r>
        <w:t xml:space="preserve">The state fish shall be the landlocked salmon (Salmo salar Sebago).</w:t>
      </w:r>
      <w:r>
        <w:t xml:space="preserve">  </w:t>
      </w:r>
      <w:r xmlns:wp="http://schemas.openxmlformats.org/drawingml/2010/wordprocessingDrawing" xmlns:w15="http://schemas.microsoft.com/office/word/2012/wordml">
        <w:rPr>
          <w:rFonts w:ascii="Arial" w:hAnsi="Arial" w:cs="Arial"/>
          <w:sz w:val="22"/>
          <w:szCs w:val="22"/>
        </w:rPr>
        <w:t xml:space="preserve">[PL 1969, c. 31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31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§212. State fish</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§212. State fish</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 §212. STATE FISH</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