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150-B</w:t>
        <w:t xml:space="preserve">.  </w:t>
      </w:r>
      <w:r>
        <w:rPr>
          <w:b/>
        </w:rPr>
        <w:t xml:space="preserve">Missing Persons Day</w:t>
      </w:r>
    </w:p>
    <w:p>
      <w:pPr>
        <w:jc w:val="both"/>
        <w:spacing w:before="100" w:after="100"/>
        <w:ind w:start="360"/>
      </w:pPr>
      <w:r>
        <w:rPr>
          <w:b/>
        </w:rPr>
        <w:t>(REALLOCATED FROM TITLE 1, SECTION 150)</w:t>
      </w:r>
    </w:p>
    <w:p>
      <w:pPr>
        <w:jc w:val="both"/>
        <w:spacing w:before="100" w:after="100"/>
        <w:ind w:start="360"/>
        <w:ind w:firstLine="360"/>
      </w:pPr>
      <w:r>
        <w:rPr/>
      </w:r>
      <w:r>
        <w:rPr/>
      </w:r>
      <w:r>
        <w:t xml:space="preserve">The Governor shall annually issue a proclamation establishing May 25th as Missing Persons Day.  The proclamation must invite and urge citizens, law enforcement agencies, family service agencies and other suitable organizations and groups to observe this day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2007, c. 695,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§150-B. Missing Persons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§150-B. Missing Persons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§150-B. MISSING PERSONS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