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 Family Reunion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Family Reunion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§148. FAMILY REUNION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