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Survey of land to be taken; filing and recording</w:t>
      </w:r>
    </w:p>
    <w:p>
      <w:pPr>
        <w:jc w:val="both"/>
        <w:spacing w:before="100" w:after="100"/>
        <w:ind w:start="360"/>
        <w:ind w:firstLine="360"/>
      </w:pPr>
      <w:r>
        <w:rPr/>
      </w:r>
      <w:r>
        <w:rPr/>
      </w:r>
      <w:r>
        <w:t xml:space="preserve">When the Governor determines that a public exigency requires the taking of any land or rights as provided for in </w:t>
      </w:r>
      <w:r>
        <w:t>section 13</w:t>
      </w:r>
      <w:r>
        <w:t xml:space="preserve">, the Governor shall cause the land to be surveyed, located and so described that it can be identified, and a plan thereof must be filed in the office of the Secretary of State and there recorded.  The filing of the plan vests the title to that land and rights in the State of Maine or the State's grantees, to be held during the pleasure of the State and, if transferred to the United States, during the pleasure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 (AMD). PL 2019,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 Survey of land to be taken; filing and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Survey of land to be taken; filing and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 SURVEY OF LAND TO BE TAKEN; FILING AND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