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133</w:t>
        <w:t xml:space="preserve">.  </w:t>
      </w:r>
      <w:r>
        <w:rPr>
          <w:b/>
        </w:rPr>
        <w:t xml:space="preserve">Landowner Recognition Day</w:t>
      </w:r>
    </w:p>
    <w:p>
      <w:pPr>
        <w:jc w:val="both"/>
        <w:spacing w:before="100" w:after="100"/>
        <w:ind w:start="360"/>
        <w:ind w:firstLine="360"/>
      </w:pPr>
      <w:r>
        <w:rPr/>
      </w:r>
      <w:r>
        <w:rPr/>
      </w:r>
      <w:r>
        <w:t xml:space="preserve">The 3rd Saturday of September of each year is designated as Landowner Recognition Day and the Governor shall issue annually a proclamation inviting and urging the people of the State to observe this day in suitable places with appropriate activity.</w:t>
      </w:r>
      <w:r>
        <w:t xml:space="preserve">  </w:t>
      </w:r>
      <w:r xmlns:wp="http://schemas.openxmlformats.org/drawingml/2010/wordprocessingDrawing" xmlns:w15="http://schemas.microsoft.com/office/word/2012/wordml">
        <w:rPr>
          <w:rFonts w:ascii="Arial" w:hAnsi="Arial" w:cs="Arial"/>
          <w:sz w:val="22"/>
          <w:szCs w:val="22"/>
        </w:rPr>
        <w:t xml:space="preserve">[PL 1995, c. 142,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142,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§133. Landowner Recognition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§133. Landowner Recognition 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§133. LANDOWNER RECOGNITION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