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w:t>
        <w:t xml:space="preserve">.  </w:t>
      </w:r>
      <w:r>
        <w:rPr>
          <w:b/>
        </w:rPr>
        <w:t xml:space="preserve">Judicial review of superintendent's action</w:t>
      </w:r>
    </w:p>
    <w:p>
      <w:pPr>
        <w:jc w:val="both"/>
        <w:spacing w:before="100" w:after="100"/>
        <w:ind w:start="360"/>
        <w:ind w:firstLine="360"/>
      </w:pPr>
      <w:r>
        <w:rPr/>
      </w:r>
      <w:r>
        <w:rPr/>
      </w:r>
      <w:r>
        <w:t xml:space="preserve">Any person or organization affected adversely by a rule, regulation, amendment, order or decision on an application promulgated by the superintendent, or affected adversely by the denial of a request for a hearing, may appeal from that action. Judicial review of any final action of the superintendent shall be in accordance with the Maine Administrative Procedure Act, </w:t>
      </w:r>
      <w:r>
        <w:t>Title 5, chapter 375, subchapter VII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694, §165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694, §165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 Judicial review of superintendent's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 Judicial review of superintendent's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§256. JUDICIAL REVIEW OF SUPERINTENDENT'S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