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Variable rate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§3-310. VARIABLE RATE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