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13-101</w:t>
        <w:t xml:space="preserve">.  </w:t>
      </w:r>
      <w:r>
        <w:rPr>
          <w:b/>
        </w:rPr>
        <w:t xml:space="preserve">Short title</w:t>
      </w:r>
    </w:p>
    <w:p>
      <w:pPr>
        <w:jc w:val="both"/>
        <w:spacing w:before="100" w:after="100"/>
        <w:ind w:start="360"/>
        <w:ind w:firstLine="360"/>
      </w:pPr>
      <w:r>
        <w:rPr/>
      </w:r>
      <w:r>
        <w:rPr/>
      </w:r>
      <w:r>
        <w:t xml:space="preserve">This Article may be known and cited as "the Maine Secure and Fair Enforcement for Mortgage Licensing Act of 2009."</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