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266</w:t>
        <w:t xml:space="preserve">.  </w:t>
      </w:r>
      <w:r>
        <w:rPr>
          <w:b/>
        </w:rPr>
        <w:t xml:space="preserve">Disbursements</w:t>
      </w:r>
    </w:p>
    <w:p>
      <w:pPr>
        <w:jc w:val="both"/>
        <w:spacing w:before="100" w:after="100"/>
        <w:ind w:start="360"/>
        <w:ind w:firstLine="360"/>
      </w:pPr>
      <w:r>
        <w:rPr/>
      </w:r>
      <w:r>
        <w:rPr/>
      </w:r>
      <w:r>
        <w:t xml:space="preserve">Compensation of the commissioners, their assistants and all other necessary expenses of the commission shall be paid out of the operating account established under </w:t>
      </w:r>
      <w:r>
        <w:t>section 267‑A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539, Pt. G, §3 (AMD); PL 2007, c. 539, Pt. G, §15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539, Pt. G, §3 (AMD). PL 2007, c. 539, Pt. G, §15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§266. Disbursements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§266. Disbursements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§266. DISBURSEMENTS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