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w:t>
        <w:t xml:space="preserve">.  </w:t>
      </w:r>
      <w:r>
        <w:rPr>
          <w:b/>
        </w:rPr>
        <w:t xml:space="preserve">Adoption of rules</w:t>
      </w:r>
    </w:p>
    <w:p>
      <w:pPr>
        <w:jc w:val="both"/>
        <w:spacing w:before="100" w:after="0"/>
        <w:ind w:start="360"/>
        <w:ind w:firstLine="360"/>
      </w:pPr>
      <w:r>
        <w:rPr>
          <w:b/>
        </w:rPr>
        <w:t>1</w:t>
        <w:t xml:space="preserve">.  </w:t>
      </w:r>
      <w:r>
        <w:rPr>
          <w:b/>
        </w:rPr>
        <w:t xml:space="preserve">Routine technical rules.</w:t>
        <w:t xml:space="preserve"> </w:t>
      </w:r>
      <w:r>
        <w:t xml:space="preserve"> </w:t>
      </w:r>
      <w:r>
        <w:t xml:space="preserve">The commissioner may adopt rules concerning the sale, use, storage, transportation and display of consumer fireworks, fireworks and special effect pyrotechnics and to carry out the purposes of this chapter.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§6 (NEW); PL 2011, c. 416, §9 (AFF).]</w:t>
      </w:r>
    </w:p>
    <w:p>
      <w:pPr>
        <w:jc w:val="both"/>
        <w:spacing w:before="100" w:after="0"/>
        <w:ind w:start="360"/>
        <w:ind w:firstLine="360"/>
      </w:pPr>
      <w:r>
        <w:rPr>
          <w:b/>
        </w:rPr>
        <w:t>2</w:t>
        <w:t xml:space="preserve">.  </w:t>
      </w:r>
      <w:r>
        <w:rPr>
          <w:b/>
        </w:rPr>
        <w:t xml:space="preserve">Major substantive rules.</w:t>
        <w:t xml:space="preserve"> </w:t>
      </w:r>
      <w:r>
        <w:t xml:space="preserve"> </w:t>
      </w:r>
      <w:r>
        <w:t xml:space="preserve">After December 31, 2013, the commissioner may adopt rules governing the reporting of consumer fireworks-related injuries by health care providers.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§6 (NEW); PL 2011, c. 416,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§12 (NEW). PL 2011, c. 416, §6 (RPR). PL 2011, c. 416,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§236.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§236.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