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w:t>
        <w:t xml:space="preserve">.  </w:t>
      </w:r>
      <w:r>
        <w:rPr>
          <w:b/>
        </w:rPr>
        <w:t xml:space="preserve">Transportation of fireworks</w:t>
      </w:r>
    </w:p>
    <w:p>
      <w:pPr>
        <w:jc w:val="both"/>
        <w:spacing w:before="100" w:after="0"/>
        <w:ind w:start="360"/>
        <w:ind w:firstLine="360"/>
      </w:pPr>
      <w:r>
        <w:rPr>
          <w:b/>
        </w:rPr>
        <w:t>1</w:t>
        <w:t xml:space="preserve">.  </w:t>
      </w:r>
      <w:r>
        <w:rPr>
          <w:b/>
        </w:rPr>
        <w:t xml:space="preserve">Transportation of fireworks.</w:t>
        <w:t xml:space="preserve"> </w:t>
      </w:r>
      <w:r>
        <w:t xml:space="preserve"> </w:t>
      </w:r>
      <w:r>
        <w:t xml:space="preserve">A person may not transport fireworks in a motor vehicle or conveyance except as permitted by the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§5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§5 (NEW); PL 2003, c. 452, Pt. X, §2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2003, c. 452, §C5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 Transportation of fireworks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 Transportation of fireworks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§225. TRANSPORTATION OF FIREWORKS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