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w:t>
        <w:t xml:space="preserve">.  </w:t>
      </w:r>
      <w:r>
        <w:rPr>
          <w:b/>
        </w:rPr>
        <w:t xml:space="preserve">Certain sports wagers prohibited</w:t>
      </w:r>
    </w:p>
    <w:p>
      <w:pPr>
        <w:jc w:val="both"/>
        <w:spacing w:before="100" w:after="0"/>
        <w:ind w:start="360"/>
        <w:ind w:firstLine="360"/>
      </w:pPr>
      <w:r>
        <w:rPr>
          <w:b/>
        </w:rPr>
        <w:t>1</w:t>
        <w:t xml:space="preserve">.  </w:t>
      </w:r>
      <w:r>
        <w:rPr>
          <w:b/>
        </w:rPr>
        <w:t xml:space="preserve">Prohibited wagers.</w:t>
        <w:t xml:space="preserve"> </w:t>
      </w:r>
      <w:r>
        <w:t xml:space="preserve"> </w:t>
      </w:r>
      <w:r>
        <w:t xml:space="preserve">An operator may not, with respect to a sports event of a sport governing body headquartered in the United States, offer or accept wagers on the occurrence of injuries or penalties, the outcome of player disciplinary rulings or replay reviews.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Request from sports governing body.</w:t>
        <w:t xml:space="preserve"> </w:t>
      </w:r>
      <w:r>
        <w:t xml:space="preserve"> </w:t>
      </w:r>
      <w:r>
        <w:t xml:space="preserve">A sports governing body may submit to the director in writing a request to restrict, limit or exclude a certain type, form or category of sports wagering with respect to sports events of that sports governing body if the sports governing body believes that that type, form or category of sports wagering with respect to sports events of that sports governing body may undermine the integrity or perceived integrity of that sports governing body or sports events of that sports governing body.  The director shall request comment from operators on all requests under this subsection.  After giving due consideration to all comments received, the director shall, upon a demonstration of good cause from the sports governing body that the type, form or category of sports wagering is likely to undermine the integrity or perceived integrity of that sports governing body or sports events of that sports governing body, grant the request.  The director shall respond to a request concerning a particular event before the start of the event or, if it is not feasible to respond before the start of the event, no later than 7 days after the request is made.  If the director determines that the sports governing body is more likely than not to prevail in successfully demonstrating good cause for its request, the director may provisionally grant the request of the sports governing body until the director makes a final determination as to whether the sports governing body has demonstrated good cause.  Absent such a provisional grant by the director, an operator may continue to offer sports wagering on sports events that are the subject of that request during the pendency of the director's consideration of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 Certain sports wagers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 Certain sports wagers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§1214. CERTAIN SPORTS WAGERS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