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Sports wagering house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Sports wagering house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§1211. SPORTS WAGERING HOUSE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