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1107</w:t>
        <w:t xml:space="preserve">.  </w:t>
      </w:r>
      <w:r>
        <w:rPr>
          <w:b/>
        </w:rPr>
        <w:t xml:space="preserve">Violations and penalties</w:t>
      </w:r>
    </w:p>
    <w:p>
      <w:pPr>
        <w:jc w:val="both"/>
        <w:spacing w:before="100" w:after="0"/>
        <w:ind w:start="360"/>
        <w:ind w:firstLine="360"/>
      </w:pPr>
      <w:r>
        <w:rPr>
          <w:b/>
        </w:rPr>
        <w:t>1</w:t>
        <w:t xml:space="preserve">.  </w:t>
      </w:r>
      <w:r>
        <w:rPr>
          <w:b/>
        </w:rPr>
        <w:t xml:space="preserve">Violation.</w:t>
        <w:t xml:space="preserve"> </w:t>
      </w:r>
      <w:r>
        <w:t xml:space="preserve"> </w:t>
      </w:r>
      <w:r>
        <w:t xml:space="preserve">A person, firm, corporation or association or an agent or employee of one of those entities may not violate this chapter or a rule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100"/>
        <w:ind w:start="360"/>
        <w:ind w:firstLine="360"/>
      </w:pPr>
      <w:r>
        <w:rPr>
          <w:b/>
        </w:rPr>
        <w:t>2</w:t>
        <w:t xml:space="preserve">.  </w:t>
      </w:r>
      <w:r>
        <w:rPr>
          <w:b/>
        </w:rPr>
        <w:t xml:space="preserve">Penalty.</w:t>
        <w:t xml:space="preserve"> </w:t>
      </w:r>
      <w:r>
        <w:t xml:space="preserve"> </w:t>
      </w:r>
      <w:r>
        <w:t xml:space="preserve">For each violation of this chapter or any rule adopted pursuant to this chapter, the director may:</w:t>
      </w:r>
    </w:p>
    <w:p>
      <w:pPr>
        <w:jc w:val="both"/>
        <w:spacing w:before="100" w:after="0"/>
        <w:ind w:start="720"/>
      </w:pPr>
      <w:r>
        <w:rPr/>
        <w:t>A</w:t>
        <w:t xml:space="preserve">.  </w:t>
      </w:r>
      <w:r>
        <w:rPr/>
      </w:r>
      <w:r>
        <w:t xml:space="preserve">Impose a fine of up to $1,000 per violation; 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Impose a fine not to exceed $5,000 for violations arising out of the same transaction or occurrence.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§1107. Violations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§1107. Violations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§1107. VIOLATIONS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