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§401-B. Responsibilities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§401-B. Responsibilities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§401-B. RESPONSIBILITIES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