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3984</w:t>
        <w:t xml:space="preserve">.  </w:t>
      </w:r>
      <w:r>
        <w:rPr>
          <w:b/>
        </w:rPr>
        <w:t xml:space="preserve">Enforcement of lien</w:t>
      </w:r>
    </w:p>
    <w:p>
      <w:pPr>
        <w:jc w:val="both"/>
        <w:spacing w:before="100" w:after="100"/>
        <w:ind w:start="360"/>
        <w:ind w:firstLine="360"/>
      </w:pPr>
      <w:r>
        <w:rPr/>
      </w:r>
      <w:r>
        <w:rPr/>
      </w:r>
      <w:r>
        <w:t xml:space="preserve">The commissioner or any person having a lien in accordance with </w:t>
      </w:r>
      <w:r>
        <w:t>section 3982</w:t>
      </w:r>
      <w:r>
        <w:t xml:space="preserve"> or </w:t>
      </w:r>
      <w:r>
        <w:t>3983</w:t>
      </w:r>
      <w:r>
        <w:t xml:space="preserve"> may enforce the lien in the same manner as enforcements of liens on personal property pursuant to </w:t>
      </w:r>
      <w:r>
        <w:t>Title 10, chapter 631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383, §3 (NEW); PL 1993, c. 468, §25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§3 (NEW). PL 1993, c. 468, §25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§3984. Enforcement of lien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§3984. Enforcement of lien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§3984. ENFORCEMENT OF LIEN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