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Agricultural Water Management and Irrigation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Agricultural Water Management and Irrigation Fund, referred to in this chapter as "the fund," is established as a nonlapsing fund in the Department of Agriculture, Conservation and Forestry.  The commissioner may accept money for the fund from any public or private source and make expenditures from the fund for the purpose of improving the use of irrigation in agriculture and the use of water resources in animal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carry out the purposes of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 shall submit an annual report on March 1st to the joint standing committee of the Legislature having jurisdiction over agricultural matters.  The report must include a summary of money available in the fund, the use of the fund and the status of agricultural irrigation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Agricultural Water Management and Irrigation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Agricultural Water Management and Irrigation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§351. AGRICULTURAL WATER MANAGEMENT AND IRRIGATION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