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Holding of real estate</w:t>
      </w:r>
    </w:p>
    <w:p>
      <w:pPr>
        <w:jc w:val="both"/>
        <w:spacing w:before="100" w:after="100"/>
        <w:ind w:start="360"/>
        <w:ind w:firstLine="360"/>
      </w:pPr>
      <w:r>
        <w:rPr/>
      </w:r>
      <w:r>
        <w:rPr/>
      </w:r>
      <w:r>
        <w:t xml:space="preserve">The commissioner may accept, hold, administer, retain and dispose of interests in real estate in order to further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2001, c. 548,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415, §2 (NEW). PL 2001, c. 548,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 Holding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Holding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 HOLDING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