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w:t>
        <w:t xml:space="preserve">.  </w:t>
      </w:r>
      <w:r>
        <w:rPr>
          <w:b/>
        </w:rPr>
        <w:t xml:space="preserve">Agricultural Complaint Response Fund</w:t>
      </w:r>
    </w:p>
    <w:p>
      <w:pPr>
        <w:jc w:val="both"/>
        <w:spacing w:before="100" w:after="100"/>
        <w:ind w:start="360"/>
        <w:ind w:firstLine="360"/>
      </w:pPr>
      <w:r>
        <w:rPr/>
      </w:r>
      <w:r>
        <w:rPr/>
      </w:r>
      <w:r>
        <w:t xml:space="preserve">There is established the nonlapsing Agricultural Complaint Response Fund. The commissioner may accept from any source funds designated to be placed in the fund. The commissioner may authorize expenses from the fund as necessary to investigate complaints involving a farm, farm operation or agricultural composting operation and to abate conditions potentially resulting from farms, farm operations or agricultural composting operations.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 Agricultural Complaint Response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 Agricultural Complaint Response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§159. AGRICULTURAL COMPLAINT RESPONSE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