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1347</w:t>
        <w:t xml:space="preserve">.  </w:t>
      </w:r>
      <w:r>
        <w:rPr>
          <w:b/>
        </w:rPr>
        <w:t xml:space="preserve">Remote-control hunting</w:t>
      </w:r>
    </w:p>
    <w:p>
      <w:pPr>
        <w:jc w:val="both"/>
        <w:spacing w:before="100" w:after="100"/>
        <w:ind w:start="360"/>
        <w:ind w:firstLine="360"/>
      </w:pPr>
      <w:r>
        <w:rPr/>
      </w:r>
      <w:r>
        <w:rPr/>
      </w:r>
      <w:r>
        <w:t xml:space="preserve">An owner or operator of a commercial large game shooting area may not use a website or a service or business via any other means that permits a person to shoot or attempt to shoot any large game that is located in this State through the use of a computer-controlled gun, shooting apparatus or any other remote-control device when the person using the website, service or business is physically removed from the immediate vicinity of the large game animal.</w:t>
      </w:r>
      <w:r>
        <w:t xml:space="preserve">  </w:t>
      </w:r>
      <w:r xmlns:wp="http://schemas.openxmlformats.org/drawingml/2010/wordprocessingDrawing" xmlns:w15="http://schemas.microsoft.com/office/word/2012/wordml">
        <w:rPr>
          <w:rFonts w:ascii="Arial" w:hAnsi="Arial" w:cs="Arial"/>
          <w:sz w:val="22"/>
          <w:szCs w:val="22"/>
        </w:rPr>
        <w:t xml:space="preserve">[PL 2005, c. 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§1347. Remote-control hunting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§1347. Remote-control hunting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§1347. REMOTE-CONTROL HUNTING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