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1013</w:t>
        <w:t xml:space="preserve">.  </w:t>
      </w:r>
      <w:r>
        <w:rPr>
          <w:b/>
        </w:rPr>
        <w:t xml:space="preserve">Rules and regulations</w:t>
      </w:r>
    </w:p>
    <w:p>
      <w:pPr>
        <w:jc w:val="both"/>
        <w:spacing w:before="100" w:after="100"/>
        <w:ind w:start="360"/>
        <w:ind w:firstLine="360"/>
      </w:pPr>
      <w:r>
        <w:rPr/>
      </w:r>
      <w:r>
        <w:rPr/>
      </w:r>
      <w:r>
        <w:t xml:space="preserve">The commissioner shall, in a manner consistent with the Maine Administrative Procedure Act, make uniform rules and regulations for carrying out this Article.</w:t>
      </w:r>
      <w:r>
        <w:t xml:space="preserve">  </w:t>
      </w:r>
      <w:r xmlns:wp="http://schemas.openxmlformats.org/drawingml/2010/wordprocessingDrawing" xmlns:w15="http://schemas.microsoft.com/office/word/2012/wordml">
        <w:rPr>
          <w:rFonts w:ascii="Arial" w:hAnsi="Arial" w:cs="Arial"/>
          <w:sz w:val="22"/>
          <w:szCs w:val="22"/>
        </w:rPr>
        <w:t xml:space="preserve">[PL 1977, c. 694,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§100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§1013.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§1013.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§1013.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