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419</w:t>
      </w:r>
    </w:p>
    <w:p>
      <w:pPr>
        <w:jc w:val="center"/>
        <w:ind w:start="360"/>
        <w:spacing w:before="300" w:after="300"/>
      </w:pPr>
      <w:r>
        <w:rPr>
          <w:b/>
        </w:rPr>
        <w:t xml:space="preserve">TICK LABORATORY AND PEST MANAGEMENT FUND</w:t>
      </w:r>
    </w:p>
    <w:p>
      <w:pPr>
        <w:jc w:val="center"/>
        <w:ind w:start="360"/>
        <w:spacing w:before="300" w:after="300"/>
      </w:pPr>
      <w:r>
        <w:rPr>
          <w:b/>
        </w:rPr>
        <w:t>(REPEALED)</w:t>
      </w:r>
    </w:p>
    <w:p>
      <w:pPr>
        <w:jc w:val="both"/>
        <w:spacing w:before="100" w:after="100"/>
        <w:ind w:start="1080" w:hanging="720"/>
      </w:pPr>
      <w:r>
        <w:rPr>
          <w:b/>
        </w:rPr>
        <w:t>§</w:t>
        <w:t>2471</w:t>
        <w:t xml:space="preserve">.  </w:t>
      </w:r>
      <w:r>
        <w:rPr>
          <w:b/>
        </w:rPr>
        <w:t xml:space="preserve">Tick Laboratory and Pest Management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548, §1 (NEW). RR 2019, c. 2, Pt. A, §11 (COR). PL 2021, c. 635, Pt. YY, §1 (RP). </w:t>
      </w:r>
    </w:p>
    <w:p>
      <w:pPr>
        <w:jc w:val="both"/>
        <w:spacing w:before="100" w:after="100"/>
        <w:ind w:start="1080" w:hanging="720"/>
      </w:pPr>
      <w:r>
        <w:rPr>
          <w:b/>
        </w:rPr>
        <w:t>§</w:t>
        <w:t>2472</w:t>
        <w:t xml:space="preserve">.  </w:t>
      </w:r>
      <w:r>
        <w:rPr>
          <w:b/>
        </w:rPr>
        <w:t xml:space="preserve">Expenditures from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548, §1 (NEW). RR 2019, c. 2, Pt. A, §12 (COR). PL 2021, c. 635, Pt. YY,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419. TICK LABORATORY AND PEST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419. TICK LABORATORY AND PEST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419. TICK LABORATORY AND PEST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