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Subpoenas and discovery</w:t>
      </w:r>
    </w:p>
    <w:p>
      <w:pPr>
        <w:jc w:val="both"/>
        <w:spacing w:before="100" w:after="100"/>
        <w:ind w:start="360"/>
        <w:ind w:firstLine="360"/>
      </w:pPr>
      <w:r>
        <w:rPr>
          <w:b/>
        </w:rPr>
        <w:t>1</w:t>
        <w:t xml:space="preserve">.  </w:t>
      </w:r>
      <w:r>
        <w:rPr>
          <w:b/>
        </w:rPr>
        <w:t xml:space="preserve">Proceedings.</w:t>
        <w:t xml:space="preserve"> </w:t>
      </w:r>
      <w:r>
        <w:t xml:space="preserve"> </w:t>
      </w:r>
      <w:r>
        <w:t xml:space="preserve">In any adjudicatory proceeding for which the agency, by independent statute, has authority to issue subpoenas, any party shall be entitled as of right to their issuance in the name of the agency to require the attendance and testimony of witnesses and the production of any evidence relating to any issue of fact in the proceeding.</w:t>
      </w:r>
    </w:p>
    <w:p>
      <w:pPr>
        <w:jc w:val="both"/>
        <w:spacing w:before="100" w:after="0"/>
        <w:ind w:start="360"/>
      </w:pPr>
      <w:r>
        <w:rPr/>
      </w:r>
      <w:r>
        <w:rPr/>
      </w:r>
      <w:r>
        <w:t xml:space="preserve">In any proceeding in which the conducting agency lacks independent authority to issue subpoenas, any party may request the issuance of a subpoena by the agency, and the agency is hereby authorized to issue the same if it first obtains the approval of the Attorney General or of any deputy attorney general. Such approval shall be given when the testimony or evidence sought is relevant to any issue of fact in the proceeding.</w:t>
      </w:r>
    </w:p>
    <w:p>
      <w:pPr>
        <w:jc w:val="both"/>
        <w:spacing w:before="100" w:after="0"/>
        <w:ind w:start="360"/>
      </w:pPr>
      <w:r>
        <w:rPr/>
      </w:r>
      <w:r>
        <w:rPr/>
      </w:r>
      <w:r>
        <w:t xml:space="preserve">When properly authorized, subpoenas may be issued by the agency or by any person designated by the agency for that purpose, in accordance with the following provisions:</w:t>
      </w:r>
    </w:p>
    <w:p>
      <w:pPr>
        <w:jc w:val="both"/>
        <w:spacing w:before="100" w:after="0"/>
        <w:ind w:start="720"/>
      </w:pPr>
      <w:r>
        <w:rPr/>
        <w:t>A</w:t>
        <w:t xml:space="preserve">.  </w:t>
      </w:r>
      <w:r>
        <w:rPr/>
      </w:r>
      <w:r>
        <w:t xml:space="preserve">The agency may prescribe the form of subpoena, but it shall adhere, insofar as practicable, to the form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subpoena issued shall show on its face the name and address of the party at whose request it was issued.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Any witness subpoenaed may petition the agency to vacate or modify a subpoena issued in its name. The agency shall give prompt notice to the party who requested issuance of the subpoena. 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Failure to comply with a subpoena lawfully issued in the name of the agency and not revoked or modified by the agency as provided in this section shall be punishable as for contempt of court.</w:t>
      </w:r>
      <w:r>
        <w:t xml:space="preserve">  </w:t>
      </w:r>
      <w:r xmlns:wp="http://schemas.openxmlformats.org/drawingml/2010/wordprocessingDrawing" xmlns:w15="http://schemas.microsoft.com/office/word/2012/wordml">
        <w:rPr>
          <w:rFonts w:ascii="Arial" w:hAnsi="Arial" w:cs="Arial"/>
          <w:sz w:val="22"/>
          <w:szCs w:val="22"/>
        </w:rPr>
        <w:t xml:space="preserve">[PL 1977, c. 694,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 (AMD).]</w:t>
      </w:r>
    </w:p>
    <w:p>
      <w:pPr>
        <w:jc w:val="both"/>
        <w:spacing w:before="100" w:after="0"/>
        <w:ind w:start="360"/>
        <w:ind w:firstLine="360"/>
      </w:pPr>
      <w:r>
        <w:rPr>
          <w:b/>
        </w:rPr>
        <w:t>2</w:t>
        <w:t xml:space="preserve">.  </w:t>
      </w:r>
      <w:r>
        <w:rPr>
          <w:b/>
        </w:rPr>
        <w:t xml:space="preserve">Adoption of rules.</w:t>
        <w:t xml:space="preserve"> </w:t>
      </w:r>
      <w:r>
        <w:t xml:space="preserve"> </w:t>
      </w:r>
      <w:r>
        <w:t xml:space="preserve">Each agency having power to conduct adjudicatory proceedings may adopt rules providing for discovery to the extent and in the manner appropriate to its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§9060. SUBPOENAS AND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