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8073</w:t>
        <w:t xml:space="preserve">.  </w:t>
      </w:r>
      <w:r>
        <w:rPr>
          <w:b/>
        </w:rPr>
        <w:t xml:space="preserve">Emergency major substantive rules</w:t>
      </w:r>
    </w:p>
    <w:p>
      <w:pPr>
        <w:jc w:val="both"/>
        <w:spacing w:before="100" w:after="100"/>
        <w:ind w:start="360"/>
        <w:ind w:firstLine="360"/>
      </w:pPr>
      <w:r>
        <w:rPr/>
      </w:r>
      <w:r>
        <w:rPr/>
      </w:r>
      <w:r>
        <w:t xml:space="preserve">Major substantive rules are subject to the emergency rule-making procedures required under </w:t>
      </w:r>
      <w:r>
        <w:t>subchapter II</w:t>
      </w:r>
      <w:r>
        <w:t xml:space="preserve">, except that a major substantive rule adopted on an emergency basis after the deadline for submission to the Legislature for review under </w:t>
      </w:r>
      <w:r>
        <w:t>section 8072</w:t>
      </w:r>
      <w:r>
        <w:t xml:space="preserve"> may be effective for up to 12 months or until the Legislature has completed review as provided in that section.  After the expiration of the emergency period, an emergency rule may not be adopted except in the manner provided by section 8072.</w:t>
      </w:r>
      <w:r>
        <w:t xml:space="preserve">  </w:t>
      </w:r>
      <w:r xmlns:wp="http://schemas.openxmlformats.org/drawingml/2010/wordprocessingDrawing" xmlns:w15="http://schemas.microsoft.com/office/word/2012/wordml">
        <w:rPr>
          <w:rFonts w:ascii="Arial" w:hAnsi="Arial" w:cs="Arial"/>
          <w:sz w:val="22"/>
          <w:szCs w:val="22"/>
        </w:rPr>
        <w:t xml:space="preserve">[PL 1995, c. 463,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463,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§8073. Emergency major substantive rules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§8073. Emergency major substantive rules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§8073. EMERGENCY MAJOR SUBSTANTIVE RULES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