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8011</w:t>
        <w:t xml:space="preserve">.  </w:t>
      </w:r>
      <w:r>
        <w:rPr>
          <w:b/>
        </w:rPr>
        <w:t xml:space="preserve">Acquisition and disposal of property</w:t>
      </w:r>
    </w:p>
    <w:p>
      <w:pPr>
        <w:jc w:val="both"/>
        <w:spacing w:before="100" w:after="100"/>
        <w:ind w:start="360"/>
      </w:pPr>
      <w:r>
        <w:rPr>
          <w:b/>
        </w:rPr>
        <w:t>(REALLOCATED TO TITLE 5, SECTION 15011)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§8011. Acquisition and disposal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§8011. Acquisition and disposal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§8011. ACQUISITION AND DISPOSAL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