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§4684-B. Additional protections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§4684-B. ADDITIONAL PROTECTIONS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