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4621</w:t>
        <w:t xml:space="preserve">.  </w:t>
      </w:r>
      <w:r>
        <w:rPr>
          <w:b/>
        </w:rPr>
        <w:t xml:space="preserve">Civil action</w:t>
      </w:r>
    </w:p>
    <w:p>
      <w:pPr>
        <w:jc w:val="both"/>
        <w:spacing w:before="100" w:after="100"/>
        <w:ind w:start="360"/>
        <w:ind w:firstLine="360"/>
      </w:pPr>
      <w:r>
        <w:rPr/>
      </w:r>
      <w:r>
        <w:rPr/>
      </w:r>
      <w:r>
        <w:t xml:space="preserve">Within the time limited, an aggrieved person may file a civil action in the Superior Court against the person or persons who committed the unlawful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613, §22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1979, c. 541, §A41 (AMD). PL 2011, c. 613, §22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§4621.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§4621.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§4621.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