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Terms of office</w:t>
      </w:r>
    </w:p>
    <w:p>
      <w:pPr>
        <w:jc w:val="both"/>
        <w:spacing w:before="100" w:after="100"/>
        <w:ind w:start="360"/>
        <w:ind w:firstLine="360"/>
      </w:pPr>
      <w:r>
        <w:rPr/>
      </w:r>
      <w:r>
        <w:rPr/>
      </w:r>
      <w:r>
        <w:t xml:space="preserve">The members of the commission must be appointed for terms of 5 years each, except that of those first appointed, the Governor shall designate one whose term is only one year, one whose term is only 2 years, one whose term is only 3 years and one whose term is only 4 years.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w:pPr>
        <w:jc w:val="both"/>
        <w:spacing w:before="100" w:after="100"/>
        <w:ind w:start="360"/>
        <w:ind w:firstLine="360"/>
      </w:pPr>
      <w:r>
        <w:rPr/>
      </w:r>
      <w:r>
        <w:rPr/>
      </w:r>
      <w:r>
        <w:t xml:space="preserve">An individual appointed to fill a vacancy occurring otherwise than by expiration of term must be appointed only for the unexpired term of the member whom the individual succeeds.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RR 2023, c. 2,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§4562.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§4562.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