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20074</w:t>
        <w:t xml:space="preserve">.  </w:t>
      </w:r>
      <w:r>
        <w:rPr>
          <w:b/>
        </w:rPr>
        <w:t xml:space="preserve">Separation of evaluation and treatment functions</w:t>
      </w:r>
    </w:p>
    <w:p>
      <w:pPr>
        <w:jc w:val="both"/>
        <w:spacing w:before="100" w:after="100"/>
        <w:ind w:start="360"/>
        <w:ind w:firstLine="360"/>
      </w:pPr>
      <w:r>
        <w:rPr/>
      </w:r>
      <w:r>
        <w:rPr/>
      </w:r>
      <w:r>
        <w:t xml:space="preserve">A Driver Education and Evaluation Programs private practitioner or a counselor employed by a substance use disorder treatment facility approved or licensed by the department providing services under this subchapter may not provide both treatment services and evaluation services for the same individual participating in programs under this subchapter unless a waiver is granted on a case-by-case basis by the Driver Education and Evaluation Programs.  The practitioner or counselor providing evaluation services shall give a client the name of 3 practitioners or counselors who can provide treatment services, at least one of whom is not employed by the same agency as the practitioner or counselor conducting the evaluation.</w:t>
      </w:r>
      <w:r>
        <w:t xml:space="preserve">  </w:t>
      </w:r>
      <w:r xmlns:wp="http://schemas.openxmlformats.org/drawingml/2010/wordprocessingDrawing" xmlns:w15="http://schemas.microsoft.com/office/word/2012/wordml">
        <w:rPr>
          <w:rFonts w:ascii="Arial" w:hAnsi="Arial" w:cs="Arial"/>
          <w:sz w:val="22"/>
          <w:szCs w:val="22"/>
        </w:rPr>
        <w:t xml:space="preserve">[PL 2017, c. 407, Pt. A,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§28 (NEW). PL 1991, c. 622, §Y6 (AMD). PL 1991, c. 850, §9 (AMD). PL 2011, c. 657, Pt. AA, §49 (AMD). PL 2017, c. 407, Pt. A,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§20074. Separation of evaluation and treatment functions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§20074. Separation of evaluation and treatment functions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§20074. SEPARATION OF EVALUATION AND TREATMENT FUNCTIONS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