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20011</w:t>
        <w:t xml:space="preserve">.  </w:t>
      </w:r>
      <w:r>
        <w:rPr>
          <w:b/>
        </w:rPr>
        <w:t xml:space="preserve">Office of Behavioral Health established</w:t>
      </w:r>
    </w:p>
    <w:p>
      <w:pPr>
        <w:jc w:val="both"/>
        <w:spacing w:before="100" w:after="100"/>
        <w:ind w:start="360"/>
        <w:ind w:firstLine="360"/>
      </w:pPr>
      <w:r>
        <w:rPr/>
      </w:r>
      <w:r>
        <w:rPr/>
      </w:r>
      <w:r>
        <w:t xml:space="preserve">The Office of Behavioral Health is established as a distinct unit within the Department of Health and Human Services.  The Office of Behavioral Health is the successor in every way to the office of substance abuse within the department and the office of substance abuse and mental health services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VV,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§20011. Office of Behavioral Health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§20011. Office of Behavioral Health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§20011. OFFICE OF BEHAVIORAL HEALTH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