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20006-B</w:t>
        <w:t xml:space="preserve">.  </w:t>
      </w:r>
      <w:r>
        <w:rPr>
          <w:b/>
        </w:rPr>
        <w:t xml:space="preserve">Gambling Addiction Prevention and Treatment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Gambling Addiction Prevention and Treatment Fund, referred to in this section as "the fund," is established for the purpose of supporting gambling addiction analysis, prevention and treatment to be administered by the department.  The fund is a dedicated, nonlapsing fund into which payments are received in accordance with </w:t>
      </w:r>
      <w:r>
        <w:t>Title 8, section 1036,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§24 (AMD).]</w:t>
      </w:r>
    </w:p>
    <w:p>
      <w:pPr>
        <w:jc w:val="both"/>
        <w:spacing w:before="100" w:after="0"/>
        <w:ind w:start="360"/>
        <w:ind w:firstLine="360"/>
      </w:pPr>
      <w:r>
        <w:rPr>
          <w:b/>
        </w:rPr>
        <w:t>2</w:t>
        <w:t xml:space="preserve">.  </w:t>
      </w:r>
      <w:r>
        <w:rPr>
          <w:b/>
        </w:rPr>
        <w:t xml:space="preserve">Report.</w:t>
        <w:t xml:space="preserve"> </w:t>
      </w:r>
      <w:r>
        <w:t xml:space="preserve"> </w:t>
      </w:r>
      <w:r>
        <w:t xml:space="preserve">The commissioner or the commissioner's designee shall report annually by March 1st to the joint standing committee of the Legislature having jurisdiction over gambling matters.  The report must include a description of a continuum of care model used to identify the need for gambling addiction services, prevention efforts, intervention and treatment provided using money from the fund.  The report must describe any collaborative efforts between the department, the Gambling Control Board established under </w:t>
      </w:r>
      <w:r>
        <w:t>Title 8, section 1002</w:t>
      </w:r>
      <w:r>
        <w:t xml:space="preserve"> and slot machine operators licensed in accordance with </w:t>
      </w:r>
      <w:r>
        <w:t>Title 8, chapter 31</w:t>
      </w:r>
      <w:r>
        <w:t xml:space="preserve"> to support the purpose of the fund described in </w:t>
      </w:r>
      <w:r>
        <w:t>subsection 1</w:t>
      </w:r>
      <w:r>
        <w:t xml:space="preserve">.  The commissioner may submit recommendations for legislation to the joint standing committee of the Legislature having jurisdiction over gambling matters, which is authorized to submit that legislation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622, §1 (NEW). PL 2011, c. 657, Pt. AA,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§20006-B. Gambling Addiction Prevention and Treatment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§20006-B. Gambling Addiction Prevention and Treatment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§20006-B. GAMBLING ADDICTION PREVENTION AND TREATMENT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