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1994</w:t>
        <w:t xml:space="preserve">.  </w:t>
      </w:r>
      <w:r>
        <w:rPr>
          <w:b/>
        </w:rPr>
        <w:t xml:space="preserve">Intergovernmental cooperation and assistance</w:t>
      </w:r>
    </w:p>
    <w:p>
      <w:pPr>
        <w:jc w:val="both"/>
        <w:spacing w:before="100" w:after="100"/>
        <w:ind w:start="360"/>
        <w:ind w:firstLine="360"/>
      </w:pPr>
      <w:r>
        <w:rPr/>
      </w:r>
      <w:r>
        <w:rPr/>
      </w:r>
      <w:r>
        <w:t xml:space="preserve">The administrator, with the approval of the Chief Information Officer, may enter into such agreements with other agencies and organizations as will promote the objectives of this subchapter and accept funds from public and private organizations to be expended for purposes consistent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§SS16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§1994. Intergovernmental cooperation and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§1994. Intergovernmental cooperation and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§1994. INTERGOVERNMENTAL COOPERATION AND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