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w:t>
        <w:t xml:space="preserve">.  </w:t>
      </w:r>
      <w:r>
        <w:rPr>
          <w:b/>
        </w:rPr>
        <w:t xml:space="preserve">State criminal inspectors; clerks; office expenses</w:t>
      </w:r>
    </w:p>
    <w:p>
      <w:pPr>
        <w:jc w:val="both"/>
        <w:spacing w:before="100" w:after="100"/>
        <w:ind w:start="360"/>
        <w:ind w:firstLine="360"/>
      </w:pPr>
      <w:r>
        <w:rPr/>
      </w:r>
      <w:r>
        <w:rPr/>
      </w:r>
      <w:r>
        <w:t xml:space="preserve">The Attorney General is authorized to employ in the Office of the Attorney General, in addition to the officers named in section 196, state criminal inspectors and additional clerks as the business of the office may demand, whose appointment and compensation is subject to the Civil Service Law.  The Attorney General may incur a reasonable expense for postage, printing, stationery and other office expenses.</w:t>
      </w:r>
      <w:r>
        <w:t xml:space="preserve">  </w:t>
      </w:r>
      <w:r xmlns:wp="http://schemas.openxmlformats.org/drawingml/2010/wordprocessingDrawing" xmlns:w15="http://schemas.microsoft.com/office/word/2012/wordml">
        <w:rPr>
          <w:rFonts w:ascii="Arial" w:hAnsi="Arial" w:cs="Arial"/>
          <w:sz w:val="22"/>
          <w:szCs w:val="22"/>
        </w:rPr>
        <w:t xml:space="preserve">[RR 2023, c. 2, Pt. B, §29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478 (AMD). PL 1985, c. 785, §B11 (AMD). RR 2023, c. 2, Pt. B, §29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§197. State criminal inspectors; clerks; office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 State criminal inspectors; clerks; office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§197. STATE CRIMINAL INSPECTORS; CLERKS; OFFICE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