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§194-C. Notice and approval for conversion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§194-C. NOTICE AND APPROVAL FOR CONVERSION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