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§18355. Disability retirement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§18355. Disability retirement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§18355. DISABILITY RETIREMENT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