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18302</w:t>
        <w:t xml:space="preserve">.  </w:t>
      </w:r>
      <w:r>
        <w:rPr>
          <w:b/>
        </w:rPr>
        <w:t xml:space="preserve">Employer contribution</w:t>
      </w:r>
    </w:p>
    <w:p>
      <w:pPr>
        <w:jc w:val="both"/>
        <w:spacing w:before="100" w:after="0"/>
        <w:ind w:start="360"/>
        <w:ind w:firstLine="360"/>
      </w:pPr>
      <w:r>
        <w:rPr>
          <w:b/>
        </w:rPr>
        <w:t>1</w:t>
        <w:t xml:space="preserve">.  </w:t>
      </w:r>
      <w:r>
        <w:rPr>
          <w:b/>
        </w:rPr>
        <w:t xml:space="preserve">Computation by actuary.</w:t>
        <w:t xml:space="preserve"> </w:t>
      </w:r>
      <w:r>
        <w:t xml:space="preserve"> </w:t>
      </w:r>
      <w:r>
        <w:t xml:space="preserve">The actuary shall compute employer contributions payable annually by the participating local district on account of employees who become members under </w:t>
      </w:r>
      <w:r>
        <w:t>subchapter II</w:t>
      </w:r>
      <w:r>
        <w:t xml:space="preserve"> in the same manner as if they were state employees in accordance with </w:t>
      </w:r>
      <w:r>
        <w:t>chapter 421, subchapter IV</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Expense.</w:t>
        <w:t xml:space="preserve"> </w:t>
      </w:r>
      <w:r>
        <w:t xml:space="preserve"> </w:t>
      </w:r>
      <w:r>
        <w:t xml:space="preserve">The expense of making the initial determination of the contributions under this section shall be assessed against and paid by the participating local district on whose account it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Employer contributions to the Participating Local District Consolidated Retirement Plan.</w:t>
        <w:t xml:space="preserve"> </w:t>
      </w:r>
      <w:r>
        <w:t xml:space="preserve"> </w:t>
      </w:r>
      <w:r>
        <w:t xml:space="preserve">The board may establish by rule the rate at which employers who participate in the Participating Local District Consolidated Retirement Plan in accordance with </w:t>
      </w:r>
      <w:r>
        <w:t>chapter 427</w:t>
      </w:r>
      <w:r>
        <w:t xml:space="preserve"> contribute to that plan. Rules established pursuant to this subsection are routine technical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2017, c. 392,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§18302. Employer contribution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§18302. Employer contribution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§18302. EMPLOYER CONTRIBUTION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