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1825-O</w:t>
        <w:t xml:space="preserve">.  </w:t>
      </w:r>
      <w:r>
        <w:rPr>
          <w:b/>
        </w:rPr>
        <w:t xml:space="preserve">Rulemaking</w:t>
      </w:r>
    </w:p>
    <w:p>
      <w:pPr>
        <w:jc w:val="both"/>
        <w:spacing w:before="100" w:after="100"/>
        <w:ind w:start="360"/>
        <w:ind w:firstLine="360"/>
      </w:pPr>
      <w:r>
        <w:rPr/>
      </w:r>
      <w:r>
        <w:rPr/>
      </w:r>
      <w:r>
        <w:t xml:space="preserve">The Chief Procurement Officer shall adopt rules under this subchapter governing the award of bids. Those rules must include specific guidelines for vendors to follow in order to comply with the state purchasing code of conduct and criteria for seeking disclosure of names and addresses of vendors' suppliers and suppliers' working conditions.</w:t>
      </w:r>
      <w:r>
        <w:t xml:space="preserve">  </w:t>
      </w:r>
      <w:r xmlns:wp="http://schemas.openxmlformats.org/drawingml/2010/wordprocessingDrawing" xmlns:w15="http://schemas.microsoft.com/office/word/2012/wordml">
        <w:rPr>
          <w:rFonts w:ascii="Arial" w:hAnsi="Arial" w:cs="Arial"/>
          <w:sz w:val="22"/>
          <w:szCs w:val="22"/>
        </w:rPr>
        <w:t xml:space="preserve">[PL 2023, c. 516, Pt. B, §35 (AMD).]</w:t>
      </w:r>
    </w:p>
    <w:p>
      <w:pPr>
        <w:jc w:val="both"/>
        <w:spacing w:before="100" w:after="100"/>
        <w:ind w:start="360"/>
        <w:ind w:firstLine="360"/>
      </w:pPr>
      <w:r>
        <w:rPr/>
      </w:r>
      <w:r>
        <w:rPr/>
      </w:r>
      <w:r>
        <w:t xml:space="preserve">Rules adopted under this section are major substantive rules as defined in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439, Pt. NNNN,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2023, c. 516, Pt. B,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§1825-O.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§1825-O.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§1825-O.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