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w:t>
        <w:t xml:space="preserve">.  </w:t>
      </w:r>
      <w:r>
        <w:rPr>
          <w:b/>
        </w:rPr>
        <w:t xml:space="preserve">Withdrawal of district from participation</w:t>
      </w:r>
    </w:p>
    <w:p>
      <w:pPr>
        <w:jc w:val="both"/>
        <w:spacing w:before="100" w:after="100"/>
        <w:ind w:start="360"/>
        <w:ind w:firstLine="360"/>
      </w:pPr>
      <w:r>
        <w:rPr/>
      </w:r>
      <w:r>
        <w:rPr/>
      </w:r>
      <w:r>
        <w:t xml:space="preserve">A participating local district may withdraw from further participation in the Participating Local District Retirement Program under the terms and conditions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§184 (AMD).]</w:t>
      </w:r>
    </w:p>
    <w:p>
      <w:pPr>
        <w:jc w:val="both"/>
        <w:spacing w:before="100" w:after="0"/>
        <w:ind w:start="360"/>
        <w:ind w:firstLine="360"/>
      </w:pPr>
      <w:r>
        <w:rPr>
          <w:b/>
        </w:rPr>
        <w:t>1</w:t>
        <w:t xml:space="preserve">.  </w:t>
      </w:r>
      <w:r>
        <w:rPr>
          <w:b/>
        </w:rPr>
        <w:t xml:space="preserve">Procedure.</w:t>
        <w:t xml:space="preserve"> </w:t>
      </w:r>
      <w:r>
        <w:t xml:space="preserve"> </w:t>
      </w:r>
      <w:r>
        <w:t xml:space="preserve">Withdrawal from participation is accomplished by filing with the board a duly certified copy of the vote of the body which would be entitled to approve participation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withdrawal shall become effective on the last day of the month following the month in which the certified notice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Amendments.</w:t>
        <w:t xml:space="preserve"> </w:t>
      </w:r>
      <w:r>
        <w:t xml:space="preserve"> </w:t>
      </w:r>
      <w:r>
        <w:t xml:space="preserve">A participating local district that has withdrawn from participation in the Participating Local District Retirement Program may adopt any provision of this Part and amend its plan to reflect adoption of that provision, whether the provision took effect before or after the effective date of the district's withdrawal.  A participating local district withdrawing under this section may not amend its retirement plan except in accordance with this subsection, and any such amendment is effective only with respect to employees of the district who remained in the Participating Local District Retirement Program at the time of the district's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§22 (AMD). PL 2003, c. 273, §1 (AMD). PL 2007, c. 491, §§184, 185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§18203. Withdrawal of district from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 Withdrawal of district from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§18203. WITHDRAWAL OF DISTRICT FROM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